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 w:val="0"/>
          <w:sz w:val="21"/>
          <w:szCs w:val="21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sz w:val="21"/>
          <w:szCs w:val="21"/>
        </w:rPr>
        <w:t>：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宁夏民政</w:t>
      </w:r>
      <w:r>
        <w:rPr>
          <w:rFonts w:hint="eastAsia" w:ascii="方正小标宋简体" w:eastAsia="方正小标宋简体"/>
          <w:bCs/>
          <w:sz w:val="36"/>
          <w:szCs w:val="36"/>
        </w:rPr>
        <w:t>标准化试点评估计分表</w:t>
      </w:r>
    </w:p>
    <w:tbl>
      <w:tblPr>
        <w:tblStyle w:val="3"/>
        <w:tblpPr w:leftFromText="180" w:rightFromText="180" w:vertAnchor="text" w:horzAnchor="page" w:tblpX="1417" w:tblpY="441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86"/>
        <w:gridCol w:w="2744"/>
        <w:gridCol w:w="7345"/>
        <w:gridCol w:w="79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12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  <w:t>项目</w:t>
            </w:r>
          </w:p>
        </w:tc>
        <w:tc>
          <w:tcPr>
            <w:tcW w:w="118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  <w:t>分项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  <w:t>内容和要求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  <w:t>评分标准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</w:rPr>
              <w:t>得分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93" w:type="dxa"/>
            <w:vMerge w:val="restart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一、标准化工作基本要求（10分）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机构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设置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领导机构(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分)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a)成立了有主管领导负责的标准化领导机构；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b)规定</w:t>
            </w:r>
            <w:r>
              <w:rPr>
                <w:rFonts w:hint="eastAsia" w:ascii="方正仿宋简体" w:hAnsi="Arial Unicode MS" w:eastAsia="方正仿宋简体" w:cs="Arial Unicode MS"/>
                <w:kern w:val="0"/>
                <w:sz w:val="24"/>
              </w:rPr>
              <w:t>了领导小组的主要任务，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工作有效</w:t>
            </w:r>
            <w:r>
              <w:rPr>
                <w:rFonts w:hint="eastAsia" w:ascii="方正仿宋简体" w:hAnsi="Arial Unicode MS" w:eastAsia="方正仿宋简体" w:cs="Arial Unicode MS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工作机构（1分）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a)有标准化专/兼职工作机构,规定了标准化工作职责;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b)提供了必要的工作条件。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专兼职工作人员配备及职责，标准化教育和培训（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a)任命了专（兼）职标准化人员，并明确其职责；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b)有专（兼）职标准化人员接受标准化教育和培训的证明资料,人员能力满足工作需求。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工作管理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制定与本组织相适应的标准化工作制度，并形成规范性文件（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a)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将标准化工作及试点建设纳入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年度工作计划，促进标准化与业务工作相结合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；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b)建立了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标准制修订、培训、监督检查以及标准化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考核奖惩、持续改进等工作机制，并能长期有效运行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对组织所开展的标准化活动进行策划、安排（3分）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有试点实施方案，明确试点工作内容、目标和总体要求，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细化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阶段目标、工作步骤和保障措施，任务明确，责任到人；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召开动员大会或采用其它形式进行广泛动员， 组织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本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部门（或单位）有计划、有步骤地开展服务标准化活动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；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c)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以多种形式开展标准化知识培训、宣传和普及，提高全员标准化意识，调动全员参与标准化的积极性。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93" w:type="dxa"/>
            <w:vMerge w:val="restart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二、标准体系（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38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2.1基本要求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总体要求（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标准体系框架符合国家法律法规要求，符合本单位、本区域行业特点。体系构成合理，结构完整，与该试点建设目标任务相协调，能支撑业务发展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9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规范性（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a)标准体系框架、标准体系表、标准明细表、标准汇总表和标准文本符合GB/T 24421和GB/T 13016、GB/T 13017、GB/T 1.1的规定; </w:t>
            </w:r>
          </w:p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 标准文本结构合理、层次分明、内容具体，文字表达准确、严谨、简明、易懂，术语、符号统一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，具有可操作性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。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完整性（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vAlign w:val="center"/>
          </w:tcPr>
          <w:p>
            <w:pPr>
              <w:tabs>
                <w:tab w:val="left" w:pos="68"/>
              </w:tabs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a)标准体系包括通用基础、服务保障和服务提供子体系；</w:t>
            </w:r>
          </w:p>
          <w:p>
            <w:pPr>
              <w:tabs>
                <w:tab w:val="left" w:pos="68"/>
              </w:tabs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"/>
                <w:kern w:val="0"/>
                <w:sz w:val="24"/>
              </w:rPr>
              <w:t>b)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覆盖了试点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服务提供过程的各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个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环节，标准覆盖率达到80%以上。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协调性（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分） 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a)标准与相关法律法规协调； 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b)标准体系内各标准之间协调。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有效性（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a)标准体系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能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满足试点发展实际；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b)标准体系能满足试点目标任务的完成；</w:t>
            </w:r>
          </w:p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c)标准体系文件具有可操作性和可检查性，能对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本单位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各项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（保障安全、保护环境、保证服务质量、提高工作效率、降低成本等）起到支撑作用，能保证体系正常运行及持续改进的措施有效。</w:t>
            </w: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2.2标准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标准的规范性（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标准文本格式规范，满足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GB/T 1.1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要求，标准结构合理，标准语言表达准确、严谨、简明、易懂，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术语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、符号统一，标准制修订程序规范。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和缩略语等通用基础标准，能满足服务组织需要。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标准科学性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标准的技术要求合理，指标科学，具有可操作性。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标准的适用性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分）</w:t>
            </w:r>
          </w:p>
        </w:tc>
        <w:tc>
          <w:tcPr>
            <w:tcW w:w="7345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标准内容与组织这重特点相适应，与管理服务活动、流程相匹配，能反映服务对象的需求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restart"/>
            <w:vAlign w:val="top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三、标准的实施与改进（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38分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3.1标准实施</w:t>
            </w:r>
          </w:p>
        </w:tc>
        <w:tc>
          <w:tcPr>
            <w:tcW w:w="2744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宣贯培训（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Merge w:val="restart"/>
            <w:vAlign w:val="top"/>
          </w:tcPr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至少组织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4次以上集中培训（标准体系策划、标准编制、标准实施阶段、持续改进各1次），培训工作有记录，培训后有对培训效果的考核。</w:t>
            </w:r>
          </w:p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  <w:t>b)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通过宣传栏、宣传册以及微信等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现代信息技术手段，营造内部学习和实施标准的环境氛围。</w:t>
            </w:r>
          </w:p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  <w:t>c)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对外开展标准化试点建设宣传，及时发布试点建设最新进展，引起社会公众媒体等关注。</w:t>
            </w:r>
          </w:p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  <w:t>d)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各岗位人员掌握相关标准，具有一定的标准化知识。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7345" w:type="dxa"/>
            <w:vMerge w:val="continue"/>
            <w:vAlign w:val="top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7345" w:type="dxa"/>
            <w:vMerge w:val="continue"/>
            <w:vAlign w:val="top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7345" w:type="dxa"/>
            <w:vMerge w:val="continue"/>
            <w:vAlign w:val="top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3" w:type="dxa"/>
            <w:vMerge w:val="restart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实施情况（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有标准实施记录，并将各环节形成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的数据和有关情况及时反馈。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 xml:space="preserve">检查标准的执行情况，确认实施过程中的各个环节和岗位是否达到标准的要求； 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有标准实施检查制度（或日常检查程序），定期组织监督检查，实施检查和问题处理记录完整。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服务和管理满足标准要求，标准实施率90%以上。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自我评价和持续改进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自我评价（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3分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4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对标准实施的符合性和实施效果进行了评价，形成评价报告。</w:t>
            </w:r>
          </w:p>
        </w:tc>
        <w:tc>
          <w:tcPr>
            <w:tcW w:w="790" w:type="dxa"/>
            <w:vMerge w:val="restart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持续改进，不断提升（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  <w:t>a)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建立标准化工作持续改进的工作方法或计划；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针对标准实施检查和自我评价等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发现的问题进行了持续改进，及时提出修订标准的建议；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  <w:t>c)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有持续改进的记录。</w:t>
            </w:r>
          </w:p>
        </w:tc>
        <w:tc>
          <w:tcPr>
            <w:tcW w:w="790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3" w:type="dxa"/>
            <w:vMerge w:val="restart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四、建设成效（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14分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保障和改善民生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服务公开透明（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及时向社会公开服务流程、服务时限等质量指标。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满意度测评（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4分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制定符合自身特点的满意度调查表，向同行业、服务管理对象征集满意度；</w:t>
            </w:r>
          </w:p>
          <w:p>
            <w:pPr>
              <w:numPr>
                <w:ilvl w:val="0"/>
                <w:numId w:val="5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根据满意度测评结果，及时分析原因和制定整改措施，满意度持续提升。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投诉意见处理（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建立公众意见、建议、投诉情况记录，并及时处理，公众投诉持续减少或无投诉。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提升服务效能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提高服务效率（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" w:eastAsia="zh-CN"/>
              </w:rPr>
              <w:t>有证据证明标准化试点建设后，优化服务流程，减少办事环节，提高办事效率的；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降低成本（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有证据证明标准化试点建设后，减少资源浪费，降低公共服务成本。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标准化创新</w:t>
            </w: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影响力提升（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试点单位创新了本行业或本区域的管理和服务模式，影响力很大，相关经验在同行业或本区域中予以推广或借鉴。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93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业绩突出（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45" w:type="dxa"/>
            <w:vAlign w:val="top"/>
          </w:tcPr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 xml:space="preserve">参与省级以上（含）标准化项目； 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主持制定地方标准、行业标准或国家标准；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default" w:ascii="方正仿宋简体" w:hAnsi="宋体" w:eastAsia="方正仿宋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>承担省级以上（含）标准化技术委员会任务。</w:t>
            </w: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90" w:type="dxa"/>
            <w:vAlign w:val="top"/>
          </w:tcPr>
          <w:p>
            <w:pPr>
              <w:spacing w:line="42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ind w:left="840" w:hanging="840" w:hangingChars="3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  本评估表包括四部分  个分项目，每项均规定了评分标准。评估组应按照评分标准和实际情况逐项填写评估得分，备注栏里应注明扣分原因。</w:t>
      </w:r>
    </w:p>
    <w:p>
      <w:pPr>
        <w:numPr>
          <w:ilvl w:val="0"/>
          <w:numId w:val="7"/>
        </w:numPr>
        <w:ind w:left="42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表中应具备而不具备的，不得分；不完善的可酌情扣分；因业务领域不同，确属不需具备的项目，不扣分。</w:t>
      </w:r>
    </w:p>
    <w:p>
      <w:pPr>
        <w:numPr>
          <w:ilvl w:val="0"/>
          <w:numId w:val="7"/>
        </w:numPr>
        <w:ind w:left="42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评估总得分达80分以上为合格。</w:t>
      </w:r>
    </w:p>
    <w:p>
      <w:pPr>
        <w:numPr>
          <w:ilvl w:val="0"/>
          <w:numId w:val="7"/>
        </w:numPr>
        <w:ind w:left="42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试点单位三年内如发生过重大质量、安全、环保等事故的，或受过通报批评、处分、媒体曝光的，不予评估。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B4280"/>
    <w:multiLevelType w:val="singleLevel"/>
    <w:tmpl w:val="BFEB428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EEBF2C7A"/>
    <w:multiLevelType w:val="singleLevel"/>
    <w:tmpl w:val="EEBF2C7A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F6FFF6C4"/>
    <w:multiLevelType w:val="singleLevel"/>
    <w:tmpl w:val="F6FFF6C4"/>
    <w:lvl w:ilvl="0" w:tentative="0">
      <w:start w:val="1"/>
      <w:numFmt w:val="lowerLetter"/>
      <w:suff w:val="nothing"/>
      <w:lvlText w:val="%1）"/>
      <w:lvlJc w:val="left"/>
    </w:lvl>
  </w:abstractNum>
  <w:abstractNum w:abstractNumId="3">
    <w:nsid w:val="FFCF2E05"/>
    <w:multiLevelType w:val="singleLevel"/>
    <w:tmpl w:val="FFCF2E05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6EA6A8B0"/>
    <w:multiLevelType w:val="singleLevel"/>
    <w:tmpl w:val="6EA6A8B0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5">
    <w:nsid w:val="6FDD899B"/>
    <w:multiLevelType w:val="singleLevel"/>
    <w:tmpl w:val="6FDD899B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6">
    <w:nsid w:val="77FDA04E"/>
    <w:multiLevelType w:val="singleLevel"/>
    <w:tmpl w:val="77FDA04E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64F51"/>
    <w:rsid w:val="0BFF7CF0"/>
    <w:rsid w:val="3FEF461B"/>
    <w:rsid w:val="42DF43A9"/>
    <w:rsid w:val="4A864F51"/>
    <w:rsid w:val="6D3C253B"/>
    <w:rsid w:val="6FFB4717"/>
    <w:rsid w:val="75BF00C8"/>
    <w:rsid w:val="77B7A5FA"/>
    <w:rsid w:val="7FF7D4B1"/>
    <w:rsid w:val="85FADE10"/>
    <w:rsid w:val="9FDFFBAD"/>
    <w:rsid w:val="DDF6FB38"/>
    <w:rsid w:val="F9E7B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2020-09-24T17:06:00Z</dcterms:created>
  <dc:creator>吴玉兰</dc:creator>
  <cp:lastModifiedBy>mzt53</cp:lastModifiedBy>
  <cp:lastPrinted>2022-01-21T14:59:00Z</cp:lastPrinted>
  <dcterms:modified xsi:type="dcterms:W3CDTF">2022-02-22T15:12:27Z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