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Times New Roman"/>
          <w:spacing w:val="-4"/>
          <w:sz w:val="32"/>
          <w:szCs w:val="32"/>
          <w:lang w:val="en-US"/>
        </w:rPr>
      </w:pPr>
      <w:bookmarkStart w:id="0" w:name="_GoBack"/>
      <w:bookmarkEnd w:id="0"/>
      <w:r>
        <w:rPr>
          <w:rFonts w:hint="eastAsia" w:ascii="黑体" w:hAnsi="黑体" w:eastAsia="黑体" w:cs="黑体"/>
          <w:spacing w:val="-4"/>
          <w:sz w:val="32"/>
          <w:szCs w:val="32"/>
        </w:rPr>
        <w:t>附件</w:t>
      </w:r>
      <w:r>
        <w:rPr>
          <w:rFonts w:hint="eastAsia" w:ascii="黑体" w:hAnsi="黑体" w:eastAsia="黑体" w:cs="黑体"/>
          <w:spacing w:val="-4"/>
          <w:sz w:val="32"/>
          <w:szCs w:val="32"/>
          <w:lang w:val="en-US" w:eastAsia="zh-CN"/>
        </w:rPr>
        <w:t>4</w:t>
      </w:r>
    </w:p>
    <w:p>
      <w:pPr>
        <w:pStyle w:val="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rFonts w:hint="eastAsia" w:ascii="黑体" w:hAnsi="黑体" w:eastAsia="黑体" w:cs="黑体"/>
          <w:spacing w:val="-4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pacing w:val="-4"/>
          <w:sz w:val="44"/>
          <w:szCs w:val="44"/>
        </w:rPr>
        <w:t>全区</w:t>
      </w:r>
      <w:r>
        <w:rPr>
          <w:rFonts w:hint="eastAsia" w:ascii="黑体" w:hAnsi="黑体" w:eastAsia="黑体" w:cs="黑体"/>
          <w:spacing w:val="-4"/>
          <w:sz w:val="44"/>
          <w:szCs w:val="44"/>
          <w:lang w:eastAsia="zh-CN"/>
        </w:rPr>
        <w:t>社会组织重点风险线索统计表</w:t>
      </w:r>
    </w:p>
    <w:p>
      <w:pPr>
        <w:pStyle w:val="1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rPr>
          <w:rFonts w:hint="eastAsia" w:ascii="仿宋_GB2312" w:hAnsi="仿宋_GB2312" w:eastAsia="仿宋_GB2312" w:cs="仿宋_GB2312"/>
          <w:spacing w:val="-4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eastAsia="zh-CN"/>
        </w:rPr>
        <w:t>单位：人、万元</w:t>
      </w:r>
    </w:p>
    <w:tbl>
      <w:tblPr>
        <w:tblStyle w:val="5"/>
        <w:tblpPr w:leftFromText="180" w:rightFromText="180" w:vertAnchor="text" w:horzAnchor="page" w:tblpX="1657" w:tblpY="2"/>
        <w:tblOverlap w:val="never"/>
        <w:tblW w:w="137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1564"/>
        <w:gridCol w:w="596"/>
        <w:gridCol w:w="585"/>
        <w:gridCol w:w="1278"/>
        <w:gridCol w:w="612"/>
        <w:gridCol w:w="600"/>
        <w:gridCol w:w="810"/>
        <w:gridCol w:w="585"/>
        <w:gridCol w:w="1980"/>
        <w:gridCol w:w="1410"/>
        <w:gridCol w:w="1050"/>
        <w:gridCol w:w="1174"/>
        <w:gridCol w:w="86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</w:trPr>
        <w:tc>
          <w:tcPr>
            <w:tcW w:w="61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0" w:lineRule="exact"/>
              <w:ind w:left="0" w:right="0" w:firstLine="0"/>
              <w:jc w:val="left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Style w:val="12"/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18"/>
                <w:szCs w:val="18"/>
              </w:rPr>
              <w:t>序号</w:t>
            </w:r>
          </w:p>
        </w:tc>
        <w:tc>
          <w:tcPr>
            <w:tcW w:w="6630" w:type="dxa"/>
            <w:gridSpan w:val="8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0" w:lineRule="exact"/>
              <w:ind w:left="0" w:right="20" w:firstLine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Style w:val="12"/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18"/>
                <w:szCs w:val="18"/>
              </w:rPr>
              <w:t>风险情况</w:t>
            </w:r>
          </w:p>
        </w:tc>
        <w:tc>
          <w:tcPr>
            <w:tcW w:w="5614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0" w:lineRule="exact"/>
              <w:ind w:left="0" w:right="0" w:firstLine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Style w:val="12"/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18"/>
                <w:szCs w:val="18"/>
              </w:rPr>
              <w:t>工作情况</w:t>
            </w:r>
          </w:p>
        </w:tc>
        <w:tc>
          <w:tcPr>
            <w:tcW w:w="8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0" w:lineRule="exact"/>
              <w:ind w:righ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Style w:val="12"/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18"/>
                <w:szCs w:val="1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61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0" w:lineRule="exact"/>
              <w:ind w:right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Style w:val="12"/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18"/>
                <w:szCs w:val="18"/>
              </w:rPr>
              <w:t>社会组织名称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20" w:lineRule="exact"/>
              <w:ind w:right="0"/>
              <w:jc w:val="both"/>
              <w:rPr>
                <w:rStyle w:val="19"/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18"/>
                <w:szCs w:val="18"/>
                <w:lang w:eastAsia="zh-CN"/>
              </w:rPr>
            </w:pPr>
            <w:r>
              <w:rPr>
                <w:rStyle w:val="19"/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18"/>
                <w:szCs w:val="18"/>
                <w:lang w:eastAsia="zh-CN"/>
              </w:rPr>
              <w:t>所属行业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20" w:lineRule="exact"/>
              <w:ind w:right="0"/>
              <w:jc w:val="left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Style w:val="12"/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18"/>
                <w:szCs w:val="18"/>
              </w:rPr>
              <w:t>集资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60" w:after="0" w:line="220" w:lineRule="exact"/>
              <w:ind w:right="0"/>
              <w:jc w:val="left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Style w:val="12"/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18"/>
                <w:szCs w:val="18"/>
              </w:rPr>
              <w:t>模式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lrTb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5" w:lineRule="exact"/>
              <w:jc w:val="center"/>
              <w:rPr>
                <w:rFonts w:hint="eastAsia" w:ascii="黑体" w:hAnsi="黑体" w:eastAsia="黑体" w:cs="黑体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eastAsia="zh-CN"/>
              </w:rPr>
              <w:t>是否通过互联网</w:t>
            </w: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20" w:lineRule="exact"/>
              <w:ind w:right="0"/>
              <w:jc w:val="left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Style w:val="12"/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18"/>
                <w:szCs w:val="18"/>
              </w:rPr>
              <w:t>涉及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60" w:after="0" w:line="220" w:lineRule="exact"/>
              <w:ind w:right="0"/>
              <w:jc w:val="left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Style w:val="12"/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18"/>
                <w:szCs w:val="18"/>
              </w:rPr>
              <w:t>金额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20" w:lineRule="exact"/>
              <w:ind w:right="0"/>
              <w:jc w:val="left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Style w:val="12"/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18"/>
                <w:szCs w:val="18"/>
              </w:rPr>
              <w:t>涉及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20" w:lineRule="exact"/>
              <w:ind w:right="0"/>
              <w:jc w:val="left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Style w:val="12"/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18"/>
                <w:szCs w:val="18"/>
              </w:rPr>
              <w:t>人数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20" w:lineRule="exact"/>
              <w:ind w:left="0" w:right="0" w:firstLine="0"/>
              <w:jc w:val="left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Style w:val="12"/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18"/>
                <w:szCs w:val="18"/>
              </w:rPr>
              <w:t>未兑付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20" w:lineRule="exact"/>
              <w:ind w:right="0"/>
              <w:jc w:val="left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Style w:val="12"/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18"/>
                <w:szCs w:val="18"/>
              </w:rPr>
              <w:t>资金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20" w:lineRule="exact"/>
              <w:ind w:right="0"/>
              <w:jc w:val="left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Style w:val="12"/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18"/>
                <w:szCs w:val="18"/>
              </w:rPr>
              <w:t>是否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60" w:after="0" w:line="220" w:lineRule="exact"/>
              <w:ind w:right="0"/>
              <w:jc w:val="left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Style w:val="12"/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18"/>
                <w:szCs w:val="18"/>
              </w:rPr>
              <w:t>跨省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20" w:firstLine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Style w:val="12"/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18"/>
                <w:szCs w:val="18"/>
              </w:rPr>
              <w:t>采取的工作措施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exact"/>
              <w:ind w:left="0" w:right="20" w:firstLine="0"/>
              <w:jc w:val="both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Style w:val="12"/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18"/>
                <w:szCs w:val="18"/>
              </w:rPr>
              <w:t>资金清退情况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0" w:lineRule="exact"/>
              <w:ind w:right="0"/>
              <w:jc w:val="left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Style w:val="12"/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18"/>
                <w:szCs w:val="18"/>
              </w:rPr>
              <w:t>处理结果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20" w:lineRule="exact"/>
              <w:ind w:left="0" w:right="0" w:firstLine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Style w:val="12"/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18"/>
                <w:szCs w:val="18"/>
              </w:rPr>
              <w:t>省际间风险通报情况</w:t>
            </w:r>
          </w:p>
        </w:tc>
        <w:tc>
          <w:tcPr>
            <w:tcW w:w="86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exac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exac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exac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exac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exac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exac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exac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0" w:lineRule="exact"/>
              <w:ind w:left="0" w:right="0" w:firstLine="0"/>
              <w:jc w:val="left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Style w:val="12"/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18"/>
                <w:szCs w:val="18"/>
              </w:rPr>
              <w:t>合计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0" w:lineRule="exact"/>
              <w:ind w:left="0" w:right="20" w:firstLine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Style w:val="12"/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0" w:lineRule="exact"/>
              <w:ind w:left="0" w:right="20" w:firstLine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Style w:val="12"/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0" w:lineRule="exact"/>
              <w:ind w:left="0" w:right="20" w:firstLine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Style w:val="12"/>
                <w:rFonts w:hint="eastAsia" w:ascii="黑体" w:hAnsi="黑体" w:eastAsia="黑体" w:cs="黑体"/>
                <w:b w:val="0"/>
                <w:bCs w:val="0"/>
                <w:i w:val="0"/>
                <w:iCs w:val="0"/>
                <w:smallCaps w:val="0"/>
                <w:strike w:val="0"/>
                <w:sz w:val="18"/>
                <w:szCs w:val="18"/>
              </w:rPr>
              <w:t>0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</w:tr>
    </w:tbl>
    <w:p>
      <w:pPr>
        <w:spacing w:line="560" w:lineRule="exact"/>
        <w:jc w:val="center"/>
        <w:rPr>
          <w:rFonts w:hint="eastAsia" w:ascii="仿宋_GB2312" w:hAnsi="仿宋_GB2312" w:eastAsia="仿宋_GB2312" w:cs="仿宋_GB2312"/>
          <w:spacing w:val="-4"/>
          <w:sz w:val="30"/>
          <w:szCs w:val="30"/>
        </w:rPr>
      </w:pPr>
      <w:r>
        <w:rPr>
          <w:rFonts w:hint="eastAsia" w:ascii="仿宋_GB2312" w:hAnsi="仿宋_GB2312" w:eastAsia="仿宋_GB2312" w:cs="仿宋_GB2312"/>
          <w:spacing w:val="-4"/>
          <w:sz w:val="30"/>
          <w:szCs w:val="30"/>
        </w:rPr>
        <w:t>填报人：</w:t>
      </w:r>
      <w:r>
        <w:rPr>
          <w:rFonts w:ascii="仿宋_GB2312" w:hAnsi="仿宋_GB2312" w:eastAsia="仿宋_GB2312" w:cs="仿宋_GB2312"/>
          <w:spacing w:val="-4"/>
          <w:sz w:val="30"/>
          <w:szCs w:val="30"/>
        </w:rPr>
        <w:t xml:space="preserve">     </w:t>
      </w:r>
      <w:r>
        <w:rPr>
          <w:rFonts w:hint="eastAsia" w:ascii="仿宋_GB2312" w:hAnsi="仿宋_GB2312" w:eastAsia="仿宋_GB2312" w:cs="仿宋_GB2312"/>
          <w:spacing w:val="-4"/>
          <w:sz w:val="30"/>
          <w:szCs w:val="30"/>
          <w:lang w:val="en-US" w:eastAsia="zh-CN"/>
        </w:rPr>
        <w:t xml:space="preserve">        </w:t>
      </w:r>
      <w:r>
        <w:rPr>
          <w:rFonts w:ascii="仿宋_GB2312" w:hAnsi="仿宋_GB2312" w:eastAsia="仿宋_GB2312" w:cs="仿宋_GB2312"/>
          <w:spacing w:val="-4"/>
          <w:sz w:val="30"/>
          <w:szCs w:val="30"/>
        </w:rPr>
        <w:t xml:space="preserve">              </w:t>
      </w:r>
      <w:r>
        <w:rPr>
          <w:rFonts w:hint="eastAsia" w:ascii="仿宋_GB2312" w:hAnsi="仿宋_GB2312" w:eastAsia="仿宋_GB2312" w:cs="仿宋_GB2312"/>
          <w:spacing w:val="-4"/>
          <w:sz w:val="30"/>
          <w:szCs w:val="30"/>
        </w:rPr>
        <w:t>电话：</w:t>
      </w:r>
      <w:r>
        <w:rPr>
          <w:rFonts w:ascii="仿宋_GB2312" w:hAnsi="仿宋_GB2312" w:eastAsia="仿宋_GB2312" w:cs="仿宋_GB2312"/>
          <w:spacing w:val="-4"/>
          <w:sz w:val="30"/>
          <w:szCs w:val="30"/>
        </w:rPr>
        <w:t xml:space="preserve">         </w:t>
      </w:r>
      <w:r>
        <w:rPr>
          <w:rFonts w:hint="eastAsia" w:ascii="仿宋_GB2312" w:hAnsi="仿宋_GB2312" w:eastAsia="仿宋_GB2312" w:cs="仿宋_GB2312"/>
          <w:spacing w:val="-4"/>
          <w:sz w:val="30"/>
          <w:szCs w:val="30"/>
          <w:lang w:val="en-US" w:eastAsia="zh-CN"/>
        </w:rPr>
        <w:t xml:space="preserve">    </w:t>
      </w:r>
      <w:r>
        <w:rPr>
          <w:rFonts w:ascii="仿宋_GB2312" w:hAnsi="仿宋_GB2312" w:eastAsia="仿宋_GB2312" w:cs="仿宋_GB2312"/>
          <w:spacing w:val="-4"/>
          <w:sz w:val="30"/>
          <w:szCs w:val="30"/>
        </w:rPr>
        <w:t xml:space="preserve">    </w:t>
      </w:r>
      <w:r>
        <w:rPr>
          <w:rFonts w:hint="eastAsia" w:ascii="仿宋_GB2312" w:hAnsi="仿宋_GB2312" w:eastAsia="仿宋_GB2312" w:cs="仿宋_GB2312"/>
          <w:spacing w:val="-4"/>
          <w:sz w:val="30"/>
          <w:szCs w:val="30"/>
        </w:rPr>
        <w:t>填报时间：</w:t>
      </w:r>
      <w:r>
        <w:rPr>
          <w:rFonts w:ascii="仿宋_GB2312" w:hAnsi="仿宋_GB2312" w:eastAsia="仿宋_GB2312" w:cs="仿宋_GB2312"/>
          <w:spacing w:val="-4"/>
          <w:sz w:val="30"/>
          <w:szCs w:val="30"/>
        </w:rPr>
        <w:t xml:space="preserve">          </w:t>
      </w:r>
      <w:r>
        <w:rPr>
          <w:rFonts w:hint="eastAsia" w:ascii="仿宋_GB2312" w:hAnsi="仿宋_GB2312" w:eastAsia="仿宋_GB2312" w:cs="仿宋_GB2312"/>
          <w:spacing w:val="-4"/>
          <w:sz w:val="30"/>
          <w:szCs w:val="30"/>
        </w:rPr>
        <w:t>年</w:t>
      </w:r>
      <w:r>
        <w:rPr>
          <w:rFonts w:ascii="仿宋_GB2312" w:hAnsi="仿宋_GB2312" w:eastAsia="仿宋_GB2312" w:cs="仿宋_GB2312"/>
          <w:spacing w:val="-4"/>
          <w:sz w:val="30"/>
          <w:szCs w:val="30"/>
        </w:rPr>
        <w:t xml:space="preserve">  </w:t>
      </w:r>
      <w:r>
        <w:rPr>
          <w:rFonts w:hint="eastAsia" w:ascii="仿宋_GB2312" w:hAnsi="仿宋_GB2312" w:eastAsia="仿宋_GB2312" w:cs="仿宋_GB2312"/>
          <w:spacing w:val="-4"/>
          <w:sz w:val="30"/>
          <w:szCs w:val="30"/>
        </w:rPr>
        <w:t>月</w:t>
      </w:r>
      <w:r>
        <w:rPr>
          <w:rFonts w:ascii="仿宋_GB2312" w:hAnsi="仿宋_GB2312" w:eastAsia="仿宋_GB2312" w:cs="仿宋_GB2312"/>
          <w:spacing w:val="-4"/>
          <w:sz w:val="30"/>
          <w:szCs w:val="30"/>
        </w:rPr>
        <w:t xml:space="preserve">  </w:t>
      </w:r>
      <w:r>
        <w:rPr>
          <w:rFonts w:hint="eastAsia" w:ascii="仿宋_GB2312" w:hAnsi="仿宋_GB2312" w:eastAsia="仿宋_GB2312" w:cs="仿宋_GB2312"/>
          <w:spacing w:val="-4"/>
          <w:sz w:val="30"/>
          <w:szCs w:val="30"/>
        </w:rPr>
        <w:t>日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4"/>
          <w:szCs w:val="24"/>
          <w:lang w:val="zh-CN" w:eastAsia="zh-CN" w:bidi="zh-CN"/>
        </w:rPr>
      </w:pP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24"/>
          <w:szCs w:val="24"/>
          <w:lang w:val="zh-CN" w:eastAsia="zh-CN" w:bidi="zh-CN"/>
        </w:rPr>
        <w:t>注：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4"/>
          <w:szCs w:val="24"/>
          <w:lang w:val="en-US" w:eastAsia="zh-CN" w:bidi="zh-CN"/>
        </w:rPr>
        <w:t>1.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4"/>
          <w:szCs w:val="24"/>
          <w:lang w:val="zh-CN" w:eastAsia="zh-CN" w:bidi="zh-CN"/>
        </w:rPr>
        <w:t>“是否通过互联网”根据实际填写线上、线上或线上线下相结合，“是否跨省”填写是或否；</w:t>
      </w:r>
    </w:p>
    <w:p>
      <w:pPr>
        <w:numPr>
          <w:ilvl w:val="0"/>
          <w:numId w:val="0"/>
        </w:numPr>
        <w:spacing w:line="560" w:lineRule="exact"/>
        <w:jc w:val="left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4"/>
          <w:szCs w:val="24"/>
          <w:lang w:val="zh-CN" w:eastAsia="zh-CN" w:bidi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4"/>
          <w:szCs w:val="24"/>
          <w:lang w:val="en-US" w:eastAsia="zh-CN" w:bidi="zh-CN"/>
        </w:rPr>
        <w:t xml:space="preserve">    2.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4"/>
          <w:szCs w:val="24"/>
          <w:lang w:val="zh-CN" w:eastAsia="zh-CN" w:bidi="zh-CN"/>
        </w:rPr>
        <w:t>“资金清退情况”填写正在清退或清退完毕，并写明清退比例；</w:t>
      </w:r>
    </w:p>
    <w:p>
      <w:pPr>
        <w:numPr>
          <w:ilvl w:val="0"/>
          <w:numId w:val="0"/>
        </w:numPr>
        <w:spacing w:line="560" w:lineRule="exact"/>
        <w:jc w:val="left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4"/>
          <w:szCs w:val="24"/>
          <w:lang w:val="zh-CN" w:eastAsia="zh-CN" w:bidi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4"/>
          <w:szCs w:val="24"/>
          <w:lang w:val="en-US" w:eastAsia="zh-CN" w:bidi="zh-CN"/>
        </w:rPr>
        <w:t xml:space="preserve">    3.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4"/>
          <w:szCs w:val="24"/>
          <w:lang w:val="zh-CN" w:eastAsia="zh-CN" w:bidi="zh-CN"/>
        </w:rPr>
        <w:t>“处理结果”填写企业现状，如正在整改并正常营业、停业整改、移送公安等；</w:t>
      </w:r>
    </w:p>
    <w:p>
      <w:pPr>
        <w:numPr>
          <w:ilvl w:val="0"/>
          <w:numId w:val="0"/>
        </w:numPr>
        <w:spacing w:line="560" w:lineRule="exact"/>
        <w:jc w:val="left"/>
        <w:rPr>
          <w:rStyle w:val="18"/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4"/>
          <w:szCs w:val="24"/>
          <w:lang w:val="en-US" w:eastAsia="zh-CN" w:bidi="zh-CN"/>
        </w:rPr>
        <w:t xml:space="preserve">    4.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4"/>
          <w:szCs w:val="24"/>
          <w:lang w:val="zh-CN" w:eastAsia="zh-CN" w:bidi="zh-CN"/>
        </w:rPr>
        <w:t>“省际间风险通报情况”填写向哪些省份通报风险线索、通报次数等。</w:t>
      </w:r>
    </w:p>
    <w:sectPr>
      <w:headerReference r:id="rId3" w:type="default"/>
      <w:footerReference r:id="rId4" w:type="default"/>
      <w:pgSz w:w="16838" w:h="11906" w:orient="landscape"/>
      <w:pgMar w:top="1531" w:right="1474" w:bottom="153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cs="Times New Roman"/>
      </w:rPr>
    </w:pPr>
    <w:r>
      <w:pict>
        <v:shape id="_x0000_s4097" o:spid="_x0000_s4097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rFonts w:cs="Times New Roman"/>
                    <w:sz w:val="18"/>
                    <w:szCs w:val="18"/>
                  </w:rPr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rPr>
                    <w:sz w:val="18"/>
                    <w:szCs w:val="18"/>
                  </w:rPr>
                  <w:t>4</w:t>
                </w:r>
                <w:r>
                  <w:rPr>
                    <w:sz w:val="18"/>
                    <w:szCs w:val="1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25309"/>
    <w:rsid w:val="000D779F"/>
    <w:rsid w:val="00172A27"/>
    <w:rsid w:val="001A576B"/>
    <w:rsid w:val="00387309"/>
    <w:rsid w:val="003E2677"/>
    <w:rsid w:val="004E1FEE"/>
    <w:rsid w:val="007E7B7A"/>
    <w:rsid w:val="008258F7"/>
    <w:rsid w:val="00870183"/>
    <w:rsid w:val="00A26BD7"/>
    <w:rsid w:val="00CC485B"/>
    <w:rsid w:val="00E06832"/>
    <w:rsid w:val="00E77D7D"/>
    <w:rsid w:val="00FA52E3"/>
    <w:rsid w:val="02DA617B"/>
    <w:rsid w:val="02F541A1"/>
    <w:rsid w:val="0511796C"/>
    <w:rsid w:val="05FD50D5"/>
    <w:rsid w:val="06971908"/>
    <w:rsid w:val="06CF4A7B"/>
    <w:rsid w:val="06E50164"/>
    <w:rsid w:val="083C1D6A"/>
    <w:rsid w:val="08930469"/>
    <w:rsid w:val="08BC42D8"/>
    <w:rsid w:val="0E9B7BFD"/>
    <w:rsid w:val="0F393CBE"/>
    <w:rsid w:val="10E479A1"/>
    <w:rsid w:val="10F96FA4"/>
    <w:rsid w:val="1102324D"/>
    <w:rsid w:val="12893C4B"/>
    <w:rsid w:val="15250D00"/>
    <w:rsid w:val="17173E4A"/>
    <w:rsid w:val="1A3C2B3F"/>
    <w:rsid w:val="22710F62"/>
    <w:rsid w:val="25204AD4"/>
    <w:rsid w:val="280C1106"/>
    <w:rsid w:val="28E55052"/>
    <w:rsid w:val="2A01140E"/>
    <w:rsid w:val="2C6517F2"/>
    <w:rsid w:val="308142ED"/>
    <w:rsid w:val="34AF1058"/>
    <w:rsid w:val="34CE0875"/>
    <w:rsid w:val="388D6B4C"/>
    <w:rsid w:val="39A3689A"/>
    <w:rsid w:val="3CB52A95"/>
    <w:rsid w:val="401E00F9"/>
    <w:rsid w:val="41A11206"/>
    <w:rsid w:val="47344350"/>
    <w:rsid w:val="4CA13BFC"/>
    <w:rsid w:val="4E465B28"/>
    <w:rsid w:val="52DA4608"/>
    <w:rsid w:val="531273A6"/>
    <w:rsid w:val="54287A21"/>
    <w:rsid w:val="55702CEF"/>
    <w:rsid w:val="55FE59CC"/>
    <w:rsid w:val="5893013F"/>
    <w:rsid w:val="58B301CB"/>
    <w:rsid w:val="58C21A7D"/>
    <w:rsid w:val="58D24B87"/>
    <w:rsid w:val="5B4F3341"/>
    <w:rsid w:val="5D6411AE"/>
    <w:rsid w:val="60A561A5"/>
    <w:rsid w:val="642B6592"/>
    <w:rsid w:val="653B110F"/>
    <w:rsid w:val="66926E02"/>
    <w:rsid w:val="69F404A9"/>
    <w:rsid w:val="69FB54D5"/>
    <w:rsid w:val="6B0C1FC1"/>
    <w:rsid w:val="6B223F93"/>
    <w:rsid w:val="6EA71B4B"/>
    <w:rsid w:val="717C005A"/>
    <w:rsid w:val="73401E95"/>
    <w:rsid w:val="73DB1679"/>
    <w:rsid w:val="746A56FB"/>
    <w:rsid w:val="76797095"/>
    <w:rsid w:val="77402DD1"/>
    <w:rsid w:val="799A74ED"/>
    <w:rsid w:val="7A9C0FF7"/>
    <w:rsid w:val="7D31364D"/>
    <w:rsid w:val="7E620AF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6">
    <w:name w:val="Table Grid"/>
    <w:basedOn w:val="5"/>
    <w:qFormat/>
    <w:uiPriority w:val="99"/>
    <w:pPr>
      <w:widowControl w:val="0"/>
      <w:jc w:val="both"/>
    </w:pPr>
    <w:rPr>
      <w:rFonts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oter Char"/>
    <w:basedOn w:val="4"/>
    <w:link w:val="2"/>
    <w:semiHidden/>
    <w:qFormat/>
    <w:uiPriority w:val="99"/>
    <w:rPr>
      <w:rFonts w:cs="Calibri"/>
      <w:sz w:val="18"/>
      <w:szCs w:val="18"/>
    </w:rPr>
  </w:style>
  <w:style w:type="character" w:customStyle="1" w:styleId="8">
    <w:name w:val="Header Char"/>
    <w:basedOn w:val="4"/>
    <w:link w:val="3"/>
    <w:semiHidden/>
    <w:qFormat/>
    <w:uiPriority w:val="99"/>
    <w:rPr>
      <w:rFonts w:cs="Calibri"/>
      <w:sz w:val="18"/>
      <w:szCs w:val="18"/>
    </w:rPr>
  </w:style>
  <w:style w:type="character" w:customStyle="1" w:styleId="9">
    <w:name w:val="biaoti-61"/>
    <w:basedOn w:val="4"/>
    <w:qFormat/>
    <w:uiPriority w:val="0"/>
    <w:rPr>
      <w:rFonts w:ascii="Verdana" w:hAnsi="Verdana" w:cs="Verdana"/>
      <w:b/>
      <w:bCs/>
      <w:color w:val="000066"/>
      <w:kern w:val="0"/>
      <w:sz w:val="30"/>
      <w:szCs w:val="30"/>
      <w:lang w:eastAsia="en-US"/>
    </w:rPr>
  </w:style>
  <w:style w:type="character" w:customStyle="1" w:styleId="10">
    <w:name w:val="font61"/>
    <w:basedOn w:val="4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paragraph" w:customStyle="1" w:styleId="11">
    <w:name w:val="Body text|2"/>
    <w:basedOn w:val="1"/>
    <w:link w:val="13"/>
    <w:qFormat/>
    <w:uiPriority w:val="0"/>
    <w:pPr>
      <w:widowControl w:val="0"/>
      <w:shd w:val="clear" w:color="auto" w:fill="FFFFFF"/>
      <w:spacing w:before="540" w:after="2280" w:line="260" w:lineRule="exact"/>
      <w:jc w:val="right"/>
    </w:pPr>
    <w:rPr>
      <w:rFonts w:ascii="PMingLiU" w:hAnsi="PMingLiU" w:eastAsia="PMingLiU" w:cs="PMingLiU"/>
      <w:spacing w:val="30"/>
      <w:sz w:val="26"/>
      <w:szCs w:val="26"/>
      <w:u w:val="none"/>
    </w:rPr>
  </w:style>
  <w:style w:type="character" w:customStyle="1" w:styleId="12">
    <w:name w:val="Body text|2 + 11 pt"/>
    <w:basedOn w:val="13"/>
    <w:unhideWhenUsed/>
    <w:qFormat/>
    <w:uiPriority w:val="0"/>
    <w:rPr>
      <w:color w:val="000000"/>
      <w:spacing w:val="0"/>
      <w:w w:val="100"/>
      <w:position w:val="0"/>
      <w:sz w:val="22"/>
      <w:szCs w:val="22"/>
      <w:lang w:val="zh-CN" w:eastAsia="zh-CN" w:bidi="zh-CN"/>
    </w:rPr>
  </w:style>
  <w:style w:type="character" w:customStyle="1" w:styleId="13">
    <w:name w:val="Body text|2_"/>
    <w:basedOn w:val="4"/>
    <w:link w:val="11"/>
    <w:qFormat/>
    <w:uiPriority w:val="0"/>
    <w:rPr>
      <w:rFonts w:ascii="PMingLiU" w:hAnsi="PMingLiU" w:eastAsia="PMingLiU" w:cs="PMingLiU"/>
      <w:spacing w:val="30"/>
      <w:sz w:val="26"/>
      <w:szCs w:val="26"/>
      <w:u w:val="none"/>
    </w:rPr>
  </w:style>
  <w:style w:type="character" w:customStyle="1" w:styleId="14">
    <w:name w:val="Body text|2 + 12 pt"/>
    <w:basedOn w:val="13"/>
    <w:unhideWhenUsed/>
    <w:qFormat/>
    <w:uiPriority w:val="0"/>
    <w:rPr>
      <w:color w:val="000000"/>
      <w:spacing w:val="50"/>
      <w:w w:val="100"/>
      <w:position w:val="0"/>
      <w:sz w:val="24"/>
      <w:szCs w:val="24"/>
      <w:lang w:val="zh-CN" w:eastAsia="zh-CN" w:bidi="zh-CN"/>
    </w:rPr>
  </w:style>
  <w:style w:type="paragraph" w:customStyle="1" w:styleId="15">
    <w:name w:val="Header or footer|11"/>
    <w:basedOn w:val="1"/>
    <w:link w:val="17"/>
    <w:qFormat/>
    <w:uiPriority w:val="0"/>
    <w:pPr>
      <w:widowControl w:val="0"/>
      <w:shd w:val="clear" w:color="auto" w:fill="FFFFFF"/>
      <w:spacing w:line="400" w:lineRule="exact"/>
    </w:pPr>
    <w:rPr>
      <w:rFonts w:ascii="PMingLiU" w:hAnsi="PMingLiU" w:eastAsia="PMingLiU" w:cs="PMingLiU"/>
      <w:sz w:val="40"/>
      <w:szCs w:val="40"/>
      <w:u w:val="none"/>
    </w:rPr>
  </w:style>
  <w:style w:type="character" w:customStyle="1" w:styleId="16">
    <w:name w:val="Header or footer|1"/>
    <w:basedOn w:val="17"/>
    <w:unhideWhenUsed/>
    <w:qFormat/>
    <w:uiPriority w:val="0"/>
    <w:rPr>
      <w:color w:val="000000"/>
      <w:spacing w:val="0"/>
      <w:w w:val="100"/>
      <w:position w:val="0"/>
      <w:lang w:val="zh-CN" w:eastAsia="zh-CN" w:bidi="zh-CN"/>
    </w:rPr>
  </w:style>
  <w:style w:type="character" w:customStyle="1" w:styleId="17">
    <w:name w:val="Header or footer|1_"/>
    <w:basedOn w:val="4"/>
    <w:link w:val="15"/>
    <w:qFormat/>
    <w:uiPriority w:val="0"/>
    <w:rPr>
      <w:rFonts w:ascii="PMingLiU" w:hAnsi="PMingLiU" w:eastAsia="PMingLiU" w:cs="PMingLiU"/>
      <w:sz w:val="40"/>
      <w:szCs w:val="40"/>
      <w:u w:val="none"/>
    </w:rPr>
  </w:style>
  <w:style w:type="character" w:customStyle="1" w:styleId="18">
    <w:name w:val="Header or footer|1 + 11 pt"/>
    <w:basedOn w:val="17"/>
    <w:unhideWhenUsed/>
    <w:qFormat/>
    <w:uiPriority w:val="0"/>
    <w:rPr>
      <w:color w:val="000000"/>
      <w:spacing w:val="30"/>
      <w:w w:val="100"/>
      <w:position w:val="0"/>
      <w:sz w:val="22"/>
      <w:szCs w:val="22"/>
      <w:lang w:val="zh-CN" w:eastAsia="zh-CN" w:bidi="zh-CN"/>
    </w:rPr>
  </w:style>
  <w:style w:type="character" w:customStyle="1" w:styleId="19">
    <w:name w:val="Body text|2 + 11 pt1"/>
    <w:basedOn w:val="13"/>
    <w:unhideWhenUsed/>
    <w:qFormat/>
    <w:uiPriority w:val="0"/>
    <w:rPr>
      <w:color w:val="000000"/>
      <w:spacing w:val="0"/>
      <w:w w:val="100"/>
      <w:position w:val="0"/>
      <w:sz w:val="22"/>
      <w:szCs w:val="2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Kingsoft</Company>
  <Pages>4</Pages>
  <Words>288</Words>
  <Characters>1645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2018-08-08T02:40:00Z</dcterms:created>
  <dc:creator>zhaoxinlei</dc:creator>
  <cp:lastModifiedBy>李富昌</cp:lastModifiedBy>
  <cp:lastPrinted>2019-05-15T00:53:00Z</cp:lastPrinted>
  <dcterms:modified xsi:type="dcterms:W3CDTF">2019-05-16T06:35:31Z</dcterms:modified>
  <dc:title>关于在全区社会组织开展涉嫌非法集资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