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pacing w:val="-4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3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黑体" w:hAnsi="黑体" w:eastAsia="黑体" w:cs="黑体"/>
          <w:spacing w:val="-4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pacing w:val="-4"/>
          <w:sz w:val="44"/>
          <w:szCs w:val="44"/>
        </w:rPr>
        <w:t>全区非法集资风险排查整治总体情况统计表</w:t>
      </w:r>
      <w:bookmarkEnd w:id="0"/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rStyle w:val="18"/>
          <w:b w:val="0"/>
          <w:bCs w:val="0"/>
          <w:i w:val="0"/>
          <w:iCs w:val="0"/>
          <w:smallCaps w:val="0"/>
          <w:strike w:val="0"/>
        </w:rPr>
      </w:pPr>
      <w:r>
        <w:rPr>
          <w:rStyle w:val="18"/>
          <w:b w:val="0"/>
          <w:bCs w:val="0"/>
          <w:i w:val="0"/>
          <w:iCs w:val="0"/>
          <w:smallCaps w:val="0"/>
          <w:strike w:val="0"/>
        </w:rPr>
        <w:t>单位：个、人、万元</w:t>
      </w:r>
    </w:p>
    <w:tbl>
      <w:tblPr>
        <w:tblStyle w:val="6"/>
        <w:tblpPr w:leftFromText="180" w:rightFromText="180" w:vertAnchor="text" w:horzAnchor="page" w:tblpX="1701" w:tblpY="110"/>
        <w:tblOverlap w:val="never"/>
        <w:tblW w:w="13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29"/>
        <w:gridCol w:w="1031"/>
        <w:gridCol w:w="1026"/>
        <w:gridCol w:w="796"/>
        <w:gridCol w:w="1036"/>
        <w:gridCol w:w="1037"/>
        <w:gridCol w:w="979"/>
        <w:gridCol w:w="6"/>
        <w:gridCol w:w="978"/>
        <w:gridCol w:w="8"/>
        <w:gridCol w:w="974"/>
        <w:gridCol w:w="11"/>
        <w:gridCol w:w="972"/>
        <w:gridCol w:w="969"/>
        <w:gridCol w:w="3"/>
        <w:gridCol w:w="973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0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  <w:t>涉及行业领域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排查机构数量</w:t>
            </w:r>
          </w:p>
        </w:tc>
        <w:tc>
          <w:tcPr>
            <w:tcW w:w="4926" w:type="dxa"/>
            <w:gridSpan w:val="5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2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问题机构情况</w:t>
            </w:r>
          </w:p>
        </w:tc>
        <w:tc>
          <w:tcPr>
            <w:tcW w:w="3928" w:type="dxa"/>
            <w:gridSpan w:val="7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整治情况</w:t>
            </w:r>
          </w:p>
        </w:tc>
        <w:tc>
          <w:tcPr>
            <w:tcW w:w="1945" w:type="dxa"/>
            <w:gridSpan w:val="3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440" w:leftChars="0" w:right="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未整治情况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40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0" w:lineRule="exact"/>
              <w:ind w:left="28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机构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220" w:lineRule="exact"/>
              <w:ind w:left="280" w:leftChars="0" w:right="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数量</w:t>
            </w:r>
          </w:p>
        </w:tc>
        <w:tc>
          <w:tcPr>
            <w:tcW w:w="1026" w:type="dxa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0" w:lineRule="exact"/>
              <w:ind w:left="30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主要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220" w:lineRule="exact"/>
              <w:ind w:left="300" w:leftChars="0" w:right="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问题</w:t>
            </w:r>
          </w:p>
        </w:tc>
        <w:tc>
          <w:tcPr>
            <w:tcW w:w="796" w:type="dxa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集资名</w:t>
            </w:r>
          </w:p>
        </w:tc>
        <w:tc>
          <w:tcPr>
            <w:tcW w:w="1036" w:type="dxa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0" w:lineRule="exact"/>
              <w:ind w:left="30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涉及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220" w:lineRule="exact"/>
              <w:ind w:left="300" w:leftChars="0" w:right="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人数</w:t>
            </w:r>
          </w:p>
        </w:tc>
        <w:tc>
          <w:tcPr>
            <w:tcW w:w="1037" w:type="dxa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0" w:lineRule="exact"/>
              <w:ind w:left="28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涉及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220" w:lineRule="exact"/>
              <w:ind w:left="280" w:leftChars="0" w:right="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金额</w:t>
            </w:r>
          </w:p>
        </w:tc>
        <w:tc>
          <w:tcPr>
            <w:tcW w:w="979" w:type="dxa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60" w:leftChars="0" w:right="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采取主要措施</w:t>
            </w:r>
          </w:p>
        </w:tc>
        <w:tc>
          <w:tcPr>
            <w:tcW w:w="984" w:type="dxa"/>
            <w:gridSpan w:val="2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0" w:lineRule="exact"/>
              <w:ind w:left="180" w:leftChars="0" w:right="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整改机构数量</w:t>
            </w:r>
          </w:p>
        </w:tc>
        <w:tc>
          <w:tcPr>
            <w:tcW w:w="982" w:type="dxa"/>
            <w:gridSpan w:val="2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0" w:lineRule="exact"/>
              <w:ind w:left="160" w:leftChars="0" w:right="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清理机构数量</w:t>
            </w:r>
          </w:p>
        </w:tc>
        <w:tc>
          <w:tcPr>
            <w:tcW w:w="983" w:type="dxa"/>
            <w:gridSpan w:val="2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leftChars="0" w:right="2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立案查处的机构数量</w:t>
            </w:r>
          </w:p>
        </w:tc>
        <w:tc>
          <w:tcPr>
            <w:tcW w:w="969" w:type="dxa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0" w:lineRule="exact"/>
              <w:ind w:left="28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机构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220" w:lineRule="exact"/>
              <w:ind w:left="280" w:leftChars="0" w:right="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数量</w:t>
            </w:r>
          </w:p>
        </w:tc>
        <w:tc>
          <w:tcPr>
            <w:tcW w:w="976" w:type="dxa"/>
            <w:gridSpan w:val="2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80" w:leftChars="0" w:right="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原因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0" w:type="dxa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leftChars="0" w:right="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民间投融资 中介</w:t>
            </w:r>
          </w:p>
        </w:tc>
        <w:tc>
          <w:tcPr>
            <w:tcW w:w="729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1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79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3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40" w:leftChars="0" w:right="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私募基金</w:t>
            </w:r>
          </w:p>
        </w:tc>
        <w:tc>
          <w:tcPr>
            <w:tcW w:w="729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1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79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3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40" w:leftChars="0" w:right="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影视文化</w:t>
            </w:r>
          </w:p>
        </w:tc>
        <w:tc>
          <w:tcPr>
            <w:tcW w:w="729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1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79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3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40" w:type="dxa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360" w:leftChars="0" w:right="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房地产</w:t>
            </w:r>
          </w:p>
        </w:tc>
        <w:tc>
          <w:tcPr>
            <w:tcW w:w="729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1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79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3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40" w:leftChars="0" w:right="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lang w:eastAsia="zh-CN"/>
              </w:rPr>
              <w:t>旅游行业</w:t>
            </w:r>
          </w:p>
        </w:tc>
        <w:tc>
          <w:tcPr>
            <w:tcW w:w="729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1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79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3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40" w:type="dxa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各类涉农合 作组织</w:t>
            </w:r>
          </w:p>
        </w:tc>
        <w:tc>
          <w:tcPr>
            <w:tcW w:w="729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1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79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3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40" w:leftChars="0" w:right="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养老服务</w:t>
            </w:r>
          </w:p>
        </w:tc>
        <w:tc>
          <w:tcPr>
            <w:tcW w:w="729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1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79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3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40" w:type="dxa"/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40" w:leftChars="0" w:right="0" w:rightChars="0" w:firstLine="0" w:firstLineChars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其它</w:t>
            </w:r>
          </w:p>
        </w:tc>
        <w:tc>
          <w:tcPr>
            <w:tcW w:w="729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1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79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3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0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  <w:r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  <w:t>合计</w:t>
            </w:r>
          </w:p>
        </w:tc>
        <w:tc>
          <w:tcPr>
            <w:tcW w:w="729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1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79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3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Style w:val="18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vertAlign w:val="baseline"/>
              </w:rPr>
            </w:pPr>
          </w:p>
        </w:tc>
      </w:tr>
    </w:tbl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rStyle w:val="18"/>
          <w:b w:val="0"/>
          <w:bCs w:val="0"/>
          <w:i w:val="0"/>
          <w:iCs w:val="0"/>
          <w:smallCaps w:val="0"/>
          <w:strike w:val="0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填报人：</w:t>
      </w:r>
      <w:r>
        <w:rPr>
          <w:rFonts w:ascii="仿宋_GB2312" w:hAnsi="仿宋_GB2312" w:eastAsia="仿宋_GB2312" w:cs="仿宋_GB2312"/>
          <w:spacing w:val="-4"/>
          <w:sz w:val="30"/>
          <w:szCs w:val="30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电话：</w:t>
      </w:r>
      <w:r>
        <w:rPr>
          <w:rFonts w:ascii="仿宋_GB2312" w:hAnsi="仿宋_GB2312" w:eastAsia="仿宋_GB2312" w:cs="仿宋_GB2312"/>
          <w:spacing w:val="-4"/>
          <w:sz w:val="30"/>
          <w:szCs w:val="30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填报时间：</w:t>
      </w:r>
      <w:r>
        <w:rPr>
          <w:rFonts w:ascii="仿宋_GB2312" w:hAnsi="仿宋_GB2312" w:eastAsia="仿宋_GB2312" w:cs="仿宋_GB2312"/>
          <w:spacing w:val="-4"/>
          <w:sz w:val="30"/>
          <w:szCs w:val="30"/>
        </w:rPr>
        <w:t xml:space="preserve">          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年</w:t>
      </w:r>
      <w:r>
        <w:rPr>
          <w:rFonts w:ascii="仿宋_GB2312" w:hAnsi="仿宋_GB2312" w:eastAsia="仿宋_GB2312" w:cs="仿宋_GB2312"/>
          <w:spacing w:val="-4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月</w:t>
      </w:r>
      <w:r>
        <w:rPr>
          <w:rFonts w:ascii="仿宋_GB2312" w:hAnsi="仿宋_GB2312" w:eastAsia="仿宋_GB2312" w:cs="仿宋_GB2312"/>
          <w:spacing w:val="-4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日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Style w:val="18"/>
          <w:b w:val="0"/>
          <w:bCs w:val="0"/>
          <w:i w:val="0"/>
          <w:iCs w:val="0"/>
          <w:smallCaps w:val="0"/>
          <w:strike w:val="0"/>
        </w:rPr>
      </w:pP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rStyle w:val="18"/>
          <w:rFonts w:hint="eastAsia"/>
          <w:b w:val="0"/>
          <w:bCs w:val="0"/>
          <w:i w:val="0"/>
          <w:iCs w:val="0"/>
          <w:smallCaps w:val="0"/>
          <w:strike w:val="0"/>
        </w:rPr>
      </w:pPr>
    </w:p>
    <w:sectPr>
      <w:headerReference r:id="rId3" w:type="default"/>
      <w:footerReference r:id="rId4" w:type="default"/>
      <w:pgSz w:w="16838" w:h="11906" w:orient="landscape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4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5309"/>
    <w:rsid w:val="000D779F"/>
    <w:rsid w:val="00172A27"/>
    <w:rsid w:val="001A576B"/>
    <w:rsid w:val="00387309"/>
    <w:rsid w:val="003E2677"/>
    <w:rsid w:val="004E1FEE"/>
    <w:rsid w:val="007E7B7A"/>
    <w:rsid w:val="008258F7"/>
    <w:rsid w:val="00870183"/>
    <w:rsid w:val="00A26BD7"/>
    <w:rsid w:val="00CC485B"/>
    <w:rsid w:val="00E06832"/>
    <w:rsid w:val="00E77D7D"/>
    <w:rsid w:val="00FA52E3"/>
    <w:rsid w:val="02DA617B"/>
    <w:rsid w:val="02F541A1"/>
    <w:rsid w:val="0511796C"/>
    <w:rsid w:val="05FD50D5"/>
    <w:rsid w:val="06971908"/>
    <w:rsid w:val="06CF4A7B"/>
    <w:rsid w:val="06E50164"/>
    <w:rsid w:val="083C1D6A"/>
    <w:rsid w:val="08930469"/>
    <w:rsid w:val="08BC42D8"/>
    <w:rsid w:val="0E9B7BFD"/>
    <w:rsid w:val="0F393CBE"/>
    <w:rsid w:val="10E479A1"/>
    <w:rsid w:val="10F96FA4"/>
    <w:rsid w:val="1102324D"/>
    <w:rsid w:val="12893C4B"/>
    <w:rsid w:val="15250D00"/>
    <w:rsid w:val="17173E4A"/>
    <w:rsid w:val="1A3C2B3F"/>
    <w:rsid w:val="22710F62"/>
    <w:rsid w:val="25204AD4"/>
    <w:rsid w:val="280C1106"/>
    <w:rsid w:val="28E55052"/>
    <w:rsid w:val="2A01140E"/>
    <w:rsid w:val="2C6517F2"/>
    <w:rsid w:val="308142ED"/>
    <w:rsid w:val="34AF1058"/>
    <w:rsid w:val="34CE0875"/>
    <w:rsid w:val="388D6B4C"/>
    <w:rsid w:val="39A3689A"/>
    <w:rsid w:val="3CB52A95"/>
    <w:rsid w:val="401E00F9"/>
    <w:rsid w:val="41A11206"/>
    <w:rsid w:val="47344350"/>
    <w:rsid w:val="4CA13BFC"/>
    <w:rsid w:val="4E465B28"/>
    <w:rsid w:val="52DA4608"/>
    <w:rsid w:val="531273A6"/>
    <w:rsid w:val="54287A21"/>
    <w:rsid w:val="55702CEF"/>
    <w:rsid w:val="55FE59CC"/>
    <w:rsid w:val="58B301CB"/>
    <w:rsid w:val="58C21A7D"/>
    <w:rsid w:val="58D24B87"/>
    <w:rsid w:val="5B4F3341"/>
    <w:rsid w:val="5D6411AE"/>
    <w:rsid w:val="60A561A5"/>
    <w:rsid w:val="642B6592"/>
    <w:rsid w:val="653B110F"/>
    <w:rsid w:val="66926E02"/>
    <w:rsid w:val="69F404A9"/>
    <w:rsid w:val="69FB54D5"/>
    <w:rsid w:val="6B0C1FC1"/>
    <w:rsid w:val="6B223F93"/>
    <w:rsid w:val="6EA71B4B"/>
    <w:rsid w:val="717C005A"/>
    <w:rsid w:val="73401E95"/>
    <w:rsid w:val="73DB1679"/>
    <w:rsid w:val="746A56FB"/>
    <w:rsid w:val="76797095"/>
    <w:rsid w:val="77402DD1"/>
    <w:rsid w:val="799A74ED"/>
    <w:rsid w:val="7A9C0FF7"/>
    <w:rsid w:val="7D31364D"/>
    <w:rsid w:val="7D4277EF"/>
    <w:rsid w:val="7E620AF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semiHidden/>
    <w:qFormat/>
    <w:uiPriority w:val="99"/>
    <w:rPr>
      <w:rFonts w:cs="Calibri"/>
      <w:sz w:val="18"/>
      <w:szCs w:val="18"/>
    </w:rPr>
  </w:style>
  <w:style w:type="character" w:customStyle="1" w:styleId="8">
    <w:name w:val="Header Char"/>
    <w:basedOn w:val="4"/>
    <w:link w:val="3"/>
    <w:semiHidden/>
    <w:qFormat/>
    <w:uiPriority w:val="99"/>
    <w:rPr>
      <w:rFonts w:cs="Calibri"/>
      <w:sz w:val="18"/>
      <w:szCs w:val="18"/>
    </w:rPr>
  </w:style>
  <w:style w:type="character" w:customStyle="1" w:styleId="9">
    <w:name w:val="biaoti-61"/>
    <w:basedOn w:val="4"/>
    <w:qFormat/>
    <w:uiPriority w:val="0"/>
    <w:rPr>
      <w:rFonts w:ascii="Verdana" w:hAnsi="Verdana" w:cs="Verdana"/>
      <w:b/>
      <w:bCs/>
      <w:color w:val="000066"/>
      <w:kern w:val="0"/>
      <w:sz w:val="30"/>
      <w:szCs w:val="30"/>
      <w:lang w:eastAsia="en-US"/>
    </w:rPr>
  </w:style>
  <w:style w:type="character" w:customStyle="1" w:styleId="10">
    <w:name w:val="font6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paragraph" w:customStyle="1" w:styleId="11">
    <w:name w:val="Body text|2"/>
    <w:basedOn w:val="1"/>
    <w:link w:val="13"/>
    <w:qFormat/>
    <w:uiPriority w:val="0"/>
    <w:pPr>
      <w:widowControl w:val="0"/>
      <w:shd w:val="clear" w:color="auto" w:fill="FFFFFF"/>
      <w:spacing w:before="540" w:after="2280" w:line="260" w:lineRule="exact"/>
      <w:jc w:val="right"/>
    </w:pPr>
    <w:rPr>
      <w:rFonts w:ascii="PMingLiU" w:hAnsi="PMingLiU" w:eastAsia="PMingLiU" w:cs="PMingLiU"/>
      <w:spacing w:val="30"/>
      <w:sz w:val="26"/>
      <w:szCs w:val="26"/>
      <w:u w:val="none"/>
    </w:rPr>
  </w:style>
  <w:style w:type="character" w:customStyle="1" w:styleId="12">
    <w:name w:val="Body text|2 + 11 pt"/>
    <w:basedOn w:val="13"/>
    <w:unhideWhenUsed/>
    <w:qFormat/>
    <w:uiPriority w:val="0"/>
    <w:rPr>
      <w:color w:val="000000"/>
      <w:spacing w:val="0"/>
      <w:w w:val="100"/>
      <w:position w:val="0"/>
      <w:sz w:val="22"/>
      <w:szCs w:val="22"/>
      <w:lang w:val="zh-CN" w:eastAsia="zh-CN" w:bidi="zh-CN"/>
    </w:rPr>
  </w:style>
  <w:style w:type="character" w:customStyle="1" w:styleId="13">
    <w:name w:val="Body text|2_"/>
    <w:basedOn w:val="4"/>
    <w:link w:val="11"/>
    <w:qFormat/>
    <w:uiPriority w:val="0"/>
    <w:rPr>
      <w:rFonts w:ascii="PMingLiU" w:hAnsi="PMingLiU" w:eastAsia="PMingLiU" w:cs="PMingLiU"/>
      <w:spacing w:val="30"/>
      <w:sz w:val="26"/>
      <w:szCs w:val="26"/>
      <w:u w:val="none"/>
    </w:rPr>
  </w:style>
  <w:style w:type="character" w:customStyle="1" w:styleId="14">
    <w:name w:val="Body text|2 + 12 pt"/>
    <w:basedOn w:val="13"/>
    <w:unhideWhenUsed/>
    <w:qFormat/>
    <w:uiPriority w:val="0"/>
    <w:rPr>
      <w:color w:val="000000"/>
      <w:spacing w:val="50"/>
      <w:w w:val="100"/>
      <w:position w:val="0"/>
      <w:sz w:val="24"/>
      <w:szCs w:val="24"/>
      <w:lang w:val="zh-CN" w:eastAsia="zh-CN" w:bidi="zh-CN"/>
    </w:rPr>
  </w:style>
  <w:style w:type="paragraph" w:customStyle="1" w:styleId="15">
    <w:name w:val="Header or footer|11"/>
    <w:basedOn w:val="1"/>
    <w:link w:val="17"/>
    <w:qFormat/>
    <w:uiPriority w:val="0"/>
    <w:pPr>
      <w:widowControl w:val="0"/>
      <w:shd w:val="clear" w:color="auto" w:fill="FFFFFF"/>
      <w:spacing w:line="400" w:lineRule="exact"/>
    </w:pPr>
    <w:rPr>
      <w:rFonts w:ascii="PMingLiU" w:hAnsi="PMingLiU" w:eastAsia="PMingLiU" w:cs="PMingLiU"/>
      <w:sz w:val="40"/>
      <w:szCs w:val="40"/>
      <w:u w:val="none"/>
    </w:rPr>
  </w:style>
  <w:style w:type="character" w:customStyle="1" w:styleId="16">
    <w:name w:val="Header or footer|1"/>
    <w:basedOn w:val="17"/>
    <w:unhideWhenUsed/>
    <w:qFormat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17">
    <w:name w:val="Header or footer|1_"/>
    <w:basedOn w:val="4"/>
    <w:link w:val="15"/>
    <w:qFormat/>
    <w:uiPriority w:val="0"/>
    <w:rPr>
      <w:rFonts w:ascii="PMingLiU" w:hAnsi="PMingLiU" w:eastAsia="PMingLiU" w:cs="PMingLiU"/>
      <w:sz w:val="40"/>
      <w:szCs w:val="40"/>
      <w:u w:val="none"/>
    </w:rPr>
  </w:style>
  <w:style w:type="character" w:customStyle="1" w:styleId="18">
    <w:name w:val="Header or footer|1 + 11 pt"/>
    <w:basedOn w:val="17"/>
    <w:unhideWhenUsed/>
    <w:qFormat/>
    <w:uiPriority w:val="0"/>
    <w:rPr>
      <w:color w:val="000000"/>
      <w:spacing w:val="30"/>
      <w:w w:val="100"/>
      <w:position w:val="0"/>
      <w:sz w:val="22"/>
      <w:szCs w:val="22"/>
      <w:lang w:val="zh-CN" w:eastAsia="zh-CN" w:bidi="zh-CN"/>
    </w:rPr>
  </w:style>
  <w:style w:type="character" w:customStyle="1" w:styleId="19">
    <w:name w:val="Body text|2 + 11 pt1"/>
    <w:basedOn w:val="13"/>
    <w:unhideWhenUsed/>
    <w:qFormat/>
    <w:uiPriority w:val="0"/>
    <w:rPr>
      <w:color w:val="000000"/>
      <w:spacing w:val="0"/>
      <w:w w:val="100"/>
      <w:positio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Kingsoft</Company>
  <Pages>4</Pages>
  <Words>288</Words>
  <Characters>1645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2018-08-08T02:40:00Z</dcterms:created>
  <dc:creator>zhaoxinlei</dc:creator>
  <cp:lastModifiedBy>李富昌</cp:lastModifiedBy>
  <cp:lastPrinted>2019-05-15T00:53:00Z</cp:lastPrinted>
  <dcterms:modified xsi:type="dcterms:W3CDTF">2019-05-16T06:34:51Z</dcterms:modified>
  <dc:title>关于在全区社会组织开展涉嫌非法集资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