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黑体" w:hAnsi="黑体" w:eastAsia="黑体" w:cs="Times New Roman"/>
          <w:spacing w:val="-4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44"/>
          <w:szCs w:val="44"/>
        </w:rPr>
        <w:t>全区社会组织涉嫌非法集资广告资讯信息排查清理情况统计表</w:t>
      </w:r>
    </w:p>
    <w:bookmarkEnd w:id="0"/>
    <w:p>
      <w:pPr>
        <w:spacing w:line="560" w:lineRule="exact"/>
        <w:jc w:val="left"/>
        <w:rPr>
          <w:rFonts w:ascii="仿宋_GB2312" w:hAnsi="仿宋_GB2312" w:eastAsia="仿宋_GB2312" w:cs="Times New Roman"/>
          <w:spacing w:val="-4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pacing w:val="-4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填报单位（盖章）：</w:t>
      </w:r>
    </w:p>
    <w:p>
      <w:pPr>
        <w:spacing w:line="320" w:lineRule="exact"/>
        <w:jc w:val="center"/>
        <w:rPr>
          <w:rFonts w:ascii="黑体" w:hAnsi="黑体" w:eastAsia="黑体" w:cs="Times New Roman"/>
          <w:spacing w:val="-4"/>
          <w:w w:val="90"/>
          <w:sz w:val="44"/>
          <w:szCs w:val="44"/>
        </w:rPr>
      </w:pPr>
    </w:p>
    <w:tbl>
      <w:tblPr>
        <w:tblStyle w:val="5"/>
        <w:tblW w:w="14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59"/>
        <w:gridCol w:w="1052"/>
        <w:gridCol w:w="1151"/>
        <w:gridCol w:w="949"/>
        <w:gridCol w:w="835"/>
        <w:gridCol w:w="794"/>
        <w:gridCol w:w="689"/>
        <w:gridCol w:w="599"/>
        <w:gridCol w:w="704"/>
        <w:gridCol w:w="660"/>
        <w:gridCol w:w="794"/>
        <w:gridCol w:w="599"/>
        <w:gridCol w:w="585"/>
        <w:gridCol w:w="794"/>
        <w:gridCol w:w="1035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1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现场检查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非现场监测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行政措施</w:t>
            </w:r>
          </w:p>
        </w:tc>
        <w:tc>
          <w:tcPr>
            <w:tcW w:w="71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查处、清理涉非广告资讯信息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检查各类广告经营者、发布者（家）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检查广告、信息（条）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出去执法人员、车辆（次）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监测各类广告和资讯信息（条次）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约谈、函告、行政指导（次）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行政处罚（次）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移送案件线索（条）</w:t>
            </w:r>
          </w:p>
        </w:tc>
        <w:tc>
          <w:tcPr>
            <w:tcW w:w="6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报纸期刊</w:t>
            </w:r>
          </w:p>
        </w:tc>
        <w:tc>
          <w:tcPr>
            <w:tcW w:w="5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电视</w:t>
            </w:r>
          </w:p>
        </w:tc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广播</w:t>
            </w:r>
          </w:p>
        </w:tc>
        <w:tc>
          <w:tcPr>
            <w:tcW w:w="6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网站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微博、微信、自媒体</w:t>
            </w:r>
          </w:p>
        </w:tc>
        <w:tc>
          <w:tcPr>
            <w:tcW w:w="5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手机</w:t>
            </w:r>
            <w:r>
              <w:rPr>
                <w:rFonts w:ascii="黑体" w:hAnsi="黑体" w:eastAsia="黑体" w:cs="黑体"/>
                <w:spacing w:val="-4"/>
                <w:w w:val="90"/>
              </w:rPr>
              <w:t>APP</w:t>
            </w: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短信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户外广告、张贴物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传单、各类印刷品</w:t>
            </w: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w w:val="90"/>
              </w:rPr>
            </w:pPr>
            <w:r>
              <w:rPr>
                <w:rFonts w:hint="eastAsia" w:ascii="黑体" w:hAnsi="黑体" w:eastAsia="黑体" w:cs="黑体"/>
                <w:spacing w:val="-4"/>
                <w:w w:val="9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42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1052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1151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94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8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660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59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58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  <w:tc>
          <w:tcPr>
            <w:tcW w:w="6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填报人：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电话：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填报时间：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309"/>
    <w:rsid w:val="000D779F"/>
    <w:rsid w:val="00172A27"/>
    <w:rsid w:val="001A576B"/>
    <w:rsid w:val="00387309"/>
    <w:rsid w:val="003E2677"/>
    <w:rsid w:val="004E1FEE"/>
    <w:rsid w:val="007E7B7A"/>
    <w:rsid w:val="008258F7"/>
    <w:rsid w:val="00870183"/>
    <w:rsid w:val="00A26BD7"/>
    <w:rsid w:val="00CC485B"/>
    <w:rsid w:val="00E06832"/>
    <w:rsid w:val="00E77D7D"/>
    <w:rsid w:val="00FA52E3"/>
    <w:rsid w:val="02DA617B"/>
    <w:rsid w:val="02F541A1"/>
    <w:rsid w:val="0511796C"/>
    <w:rsid w:val="05FD50D5"/>
    <w:rsid w:val="06971908"/>
    <w:rsid w:val="06CF4A7B"/>
    <w:rsid w:val="06E50164"/>
    <w:rsid w:val="083C1D6A"/>
    <w:rsid w:val="08930469"/>
    <w:rsid w:val="08BC42D8"/>
    <w:rsid w:val="0E9B7BFD"/>
    <w:rsid w:val="0F393CBE"/>
    <w:rsid w:val="10E479A1"/>
    <w:rsid w:val="10F96FA4"/>
    <w:rsid w:val="1102324D"/>
    <w:rsid w:val="12893C4B"/>
    <w:rsid w:val="15250D00"/>
    <w:rsid w:val="17173E4A"/>
    <w:rsid w:val="1A3C2B3F"/>
    <w:rsid w:val="22710F62"/>
    <w:rsid w:val="25204AD4"/>
    <w:rsid w:val="280C1106"/>
    <w:rsid w:val="28E55052"/>
    <w:rsid w:val="2A01140E"/>
    <w:rsid w:val="2C6517F2"/>
    <w:rsid w:val="308142ED"/>
    <w:rsid w:val="34AF1058"/>
    <w:rsid w:val="34CE0875"/>
    <w:rsid w:val="388D6B4C"/>
    <w:rsid w:val="39121691"/>
    <w:rsid w:val="39A3689A"/>
    <w:rsid w:val="3CB52A95"/>
    <w:rsid w:val="401E00F9"/>
    <w:rsid w:val="41A11206"/>
    <w:rsid w:val="47344350"/>
    <w:rsid w:val="4CA13BFC"/>
    <w:rsid w:val="4E465B28"/>
    <w:rsid w:val="52DA4608"/>
    <w:rsid w:val="531273A6"/>
    <w:rsid w:val="54287A21"/>
    <w:rsid w:val="55702CEF"/>
    <w:rsid w:val="55FE59CC"/>
    <w:rsid w:val="58B301CB"/>
    <w:rsid w:val="58C21A7D"/>
    <w:rsid w:val="58D24B87"/>
    <w:rsid w:val="5B4F3341"/>
    <w:rsid w:val="5D6411AE"/>
    <w:rsid w:val="60A561A5"/>
    <w:rsid w:val="642B6592"/>
    <w:rsid w:val="653B110F"/>
    <w:rsid w:val="66926E02"/>
    <w:rsid w:val="69F404A9"/>
    <w:rsid w:val="69FB54D5"/>
    <w:rsid w:val="6B0C1FC1"/>
    <w:rsid w:val="6B223F93"/>
    <w:rsid w:val="6EA71B4B"/>
    <w:rsid w:val="717C005A"/>
    <w:rsid w:val="73401E95"/>
    <w:rsid w:val="73DB1679"/>
    <w:rsid w:val="746A56FB"/>
    <w:rsid w:val="76797095"/>
    <w:rsid w:val="77402DD1"/>
    <w:rsid w:val="799A74ED"/>
    <w:rsid w:val="7A9C0FF7"/>
    <w:rsid w:val="7D31364D"/>
    <w:rsid w:val="7E620A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biaoti-61"/>
    <w:basedOn w:val="4"/>
    <w:qFormat/>
    <w:uiPriority w:val="0"/>
    <w:rPr>
      <w:rFonts w:ascii="Verdana" w:hAnsi="Verdana" w:cs="Verdana"/>
      <w:b/>
      <w:bCs/>
      <w:color w:val="000066"/>
      <w:kern w:val="0"/>
      <w:sz w:val="30"/>
      <w:szCs w:val="30"/>
      <w:lang w:eastAsia="en-US"/>
    </w:rPr>
  </w:style>
  <w:style w:type="character" w:customStyle="1" w:styleId="10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1">
    <w:name w:val="Body text|2"/>
    <w:basedOn w:val="1"/>
    <w:link w:val="13"/>
    <w:qFormat/>
    <w:uiPriority w:val="0"/>
    <w:pPr>
      <w:widowControl w:val="0"/>
      <w:shd w:val="clear" w:color="auto" w:fill="FFFFFF"/>
      <w:spacing w:before="540" w:after="2280" w:line="260" w:lineRule="exact"/>
      <w:jc w:val="right"/>
    </w:pPr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2">
    <w:name w:val="Body text|2 + 11 pt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13">
    <w:name w:val="Body text|2_"/>
    <w:basedOn w:val="4"/>
    <w:link w:val="11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4">
    <w:name w:val="Body text|2 + 12 pt"/>
    <w:basedOn w:val="13"/>
    <w:unhideWhenUsed/>
    <w:qFormat/>
    <w:uiPriority w:val="0"/>
    <w:rPr>
      <w:color w:val="000000"/>
      <w:spacing w:val="50"/>
      <w:w w:val="100"/>
      <w:position w:val="0"/>
      <w:sz w:val="24"/>
      <w:szCs w:val="24"/>
      <w:lang w:val="zh-CN" w:eastAsia="zh-CN" w:bidi="zh-CN"/>
    </w:rPr>
  </w:style>
  <w:style w:type="paragraph" w:customStyle="1" w:styleId="15">
    <w:name w:val="Header or footer|11"/>
    <w:basedOn w:val="1"/>
    <w:link w:val="17"/>
    <w:qFormat/>
    <w:uiPriority w:val="0"/>
    <w:pPr>
      <w:widowControl w:val="0"/>
      <w:shd w:val="clear" w:color="auto" w:fill="FFFFFF"/>
      <w:spacing w:line="400" w:lineRule="exact"/>
    </w:pPr>
    <w:rPr>
      <w:rFonts w:ascii="PMingLiU" w:hAnsi="PMingLiU" w:eastAsia="PMingLiU" w:cs="PMingLiU"/>
      <w:sz w:val="40"/>
      <w:szCs w:val="40"/>
      <w:u w:val="none"/>
    </w:rPr>
  </w:style>
  <w:style w:type="character" w:customStyle="1" w:styleId="16">
    <w:name w:val="Header or footer|1"/>
    <w:basedOn w:val="17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7">
    <w:name w:val="Header or footer|1_"/>
    <w:basedOn w:val="4"/>
    <w:link w:val="15"/>
    <w:qFormat/>
    <w:uiPriority w:val="0"/>
    <w:rPr>
      <w:rFonts w:ascii="PMingLiU" w:hAnsi="PMingLiU" w:eastAsia="PMingLiU" w:cs="PMingLiU"/>
      <w:sz w:val="40"/>
      <w:szCs w:val="40"/>
      <w:u w:val="none"/>
    </w:rPr>
  </w:style>
  <w:style w:type="character" w:customStyle="1" w:styleId="18">
    <w:name w:val="Header or footer|1 + 11 pt"/>
    <w:basedOn w:val="17"/>
    <w:unhideWhenUsed/>
    <w:qFormat/>
    <w:uiPriority w:val="0"/>
    <w:rPr>
      <w:color w:val="000000"/>
      <w:spacing w:val="30"/>
      <w:w w:val="100"/>
      <w:position w:val="0"/>
      <w:sz w:val="22"/>
      <w:szCs w:val="22"/>
      <w:lang w:val="zh-CN" w:eastAsia="zh-CN" w:bidi="zh-CN"/>
    </w:rPr>
  </w:style>
  <w:style w:type="character" w:customStyle="1" w:styleId="19">
    <w:name w:val="Body text|2 + 11 pt1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4</Pages>
  <Words>288</Words>
  <Characters>1645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2018-08-08T02:40:00Z</dcterms:created>
  <dc:creator>zhaoxinlei</dc:creator>
  <cp:lastModifiedBy>李富昌</cp:lastModifiedBy>
  <cp:lastPrinted>2019-05-15T00:53:00Z</cp:lastPrinted>
  <dcterms:modified xsi:type="dcterms:W3CDTF">2019-05-16T06:34:04Z</dcterms:modified>
  <dc:title>关于在全区社会组织开展涉嫌非法集资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